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F2" w:rsidRDefault="009746F2">
      <w:pPr>
        <w:pageBreakBefore/>
        <w:spacing w:after="0" w:line="100" w:lineRule="atLeast"/>
        <w:rPr>
          <w:rFonts w:ascii="Times New Roman" w:hAnsi="Times New Roman" w:cs="Times New Roman"/>
          <w:sz w:val="24"/>
          <w:szCs w:val="24"/>
        </w:rPr>
      </w:pPr>
      <w:bookmarkStart w:id="0" w:name="_GoBack"/>
      <w:bookmarkEnd w:id="0"/>
      <w:r>
        <w:rPr>
          <w:rFonts w:ascii="Times New Roman" w:hAnsi="Times New Roman" w:cs="Times New Roman"/>
          <w:sz w:val="24"/>
          <w:szCs w:val="24"/>
        </w:rPr>
        <w:t>Formatvorschlag Fachcurriculum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Fach: Deutsch</w:t>
      </w:r>
    </w:p>
    <w:p w:rsidR="009746F2" w:rsidRDefault="009746F2">
      <w:pPr>
        <w:spacing w:after="0" w:line="100" w:lineRule="atLeast"/>
        <w:rPr>
          <w:rFonts w:ascii="Times New Roman" w:hAnsi="Times New Roman" w:cs="Times New Roman"/>
          <w:sz w:val="24"/>
          <w:szCs w:val="24"/>
        </w:rPr>
      </w:pPr>
      <w:r>
        <w:rPr>
          <w:rFonts w:ascii="Times New Roman" w:hAnsi="Times New Roman" w:cs="Times New Roman"/>
          <w:sz w:val="24"/>
          <w:szCs w:val="24"/>
        </w:rPr>
        <w:t>Vereinbarter Unterrichtsschwerpunkt: Bewerbung und Praktikum            Jahrgangsstufe: 9 / 10</w:t>
      </w:r>
      <w:r>
        <w:rPr>
          <w:rFonts w:ascii="Times New Roman" w:hAnsi="Times New Roman" w:cs="Times New Roman"/>
          <w:sz w:val="24"/>
          <w:szCs w:val="24"/>
        </w:rPr>
        <w:tab/>
      </w:r>
      <w:r>
        <w:rPr>
          <w:rFonts w:ascii="Times New Roman" w:hAnsi="Times New Roman" w:cs="Times New Roman"/>
          <w:sz w:val="24"/>
          <w:szCs w:val="24"/>
        </w:rPr>
        <w:tab/>
        <w:t>Schulform: H/</w:t>
      </w:r>
      <w:r>
        <w:rPr>
          <w:rFonts w:ascii="Times New Roman" w:hAnsi="Times New Roman" w:cs="Times New Roman"/>
          <w:b/>
          <w:bCs/>
          <w:sz w:val="24"/>
          <w:szCs w:val="24"/>
        </w:rPr>
        <w:t>R</w:t>
      </w:r>
      <w:r>
        <w:rPr>
          <w:rFonts w:ascii="Times New Roman" w:hAnsi="Times New Roman" w:cs="Times New Roman"/>
          <w:sz w:val="24"/>
          <w:szCs w:val="24"/>
        </w:rPr>
        <w:t>/G</w:t>
      </w:r>
    </w:p>
    <w:p w:rsidR="009746F2" w:rsidRDefault="009746F2">
      <w:pPr>
        <w:spacing w:after="0" w:line="100" w:lineRule="atLeast"/>
        <w:rPr>
          <w:rFonts w:ascii="Times New Roman" w:hAnsi="Times New Roman" w:cs="Times New Roman"/>
          <w:sz w:val="24"/>
          <w:szCs w:val="24"/>
        </w:rPr>
      </w:pPr>
      <w:r>
        <w:rPr>
          <w:rFonts w:ascii="Times New Roman" w:hAnsi="Times New Roman" w:cs="Times New Roman"/>
          <w:sz w:val="24"/>
          <w:szCs w:val="24"/>
        </w:rPr>
        <w:tab/>
      </w:r>
    </w:p>
    <w:p w:rsidR="009746F2" w:rsidRDefault="009746F2">
      <w:pPr>
        <w:spacing w:after="0" w:line="100" w:lineRule="atLeast"/>
        <w:rPr>
          <w:rFonts w:ascii="Times New Roman" w:hAnsi="Times New Roman" w:cs="Times New Roman"/>
          <w:sz w:val="20"/>
          <w:szCs w:val="20"/>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Fachcurriculum</w:t>
      </w:r>
    </w:p>
    <w:p w:rsidR="009746F2" w:rsidRDefault="009746F2">
      <w:pPr>
        <w:spacing w:after="0" w:line="100" w:lineRule="atLeast"/>
        <w:rPr>
          <w:rFonts w:ascii="Times New Roman" w:hAnsi="Times New Roman" w:cs="Times New Roman"/>
          <w:sz w:val="20"/>
          <w:szCs w:val="20"/>
          <w:u w:val="single"/>
        </w:rPr>
      </w:pP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jc w:val="center"/>
        <w:rPr>
          <w:rFonts w:ascii="Times New Roman" w:hAnsi="Times New Roman" w:cs="Times New Roman"/>
          <w:b/>
          <w:sz w:val="20"/>
          <w:szCs w:val="20"/>
        </w:rPr>
      </w:pPr>
      <w:r>
        <w:rPr>
          <w:rFonts w:ascii="Times New Roman" w:hAnsi="Times New Roman" w:cs="Times New Roman"/>
          <w:b/>
          <w:sz w:val="20"/>
          <w:szCs w:val="20"/>
        </w:rPr>
        <w:t>Überfachliche Kompetenzen</w:t>
      </w: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Roman" w:eastAsia="Times-Roman" w:hAnsi="Times-Roman" w:cs="Times-Roman"/>
        </w:rPr>
      </w:pPr>
      <w:r>
        <w:rPr>
          <w:rFonts w:ascii="Times New Roman" w:hAnsi="Times New Roman" w:cs="Times New Roman"/>
          <w:b/>
          <w:sz w:val="20"/>
          <w:szCs w:val="20"/>
        </w:rPr>
        <w:br/>
      </w:r>
      <w:r>
        <w:rPr>
          <w:rFonts w:ascii="Times-Bold" w:eastAsia="Times-Bold" w:hAnsi="Times-Bold" w:cs="Times-Bold"/>
          <w:b/>
          <w:bCs/>
        </w:rPr>
        <w:t>Personale Kompetenz</w:t>
      </w:r>
      <w:r>
        <w:rPr>
          <w:rFonts w:ascii="Times New Roman" w:eastAsia="Times-Bold" w:hAnsi="Times New Roman" w:cs="Times New Roman"/>
          <w:b/>
          <w:bCs/>
          <w:sz w:val="20"/>
          <w:szCs w:val="20"/>
        </w:rPr>
        <w:t xml:space="preserve">: </w:t>
      </w: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Roman" w:eastAsia="Times-Roman" w:hAnsi="Times-Roman" w:cs="Times-Roman"/>
          <w:b/>
          <w:bCs/>
        </w:rPr>
      </w:pPr>
      <w:r>
        <w:rPr>
          <w:rFonts w:ascii="Times-Roman" w:eastAsia="Times-Roman" w:hAnsi="Times-Roman" w:cs="Times-Roman"/>
        </w:rPr>
        <w:t>Selbstkonzept: Die Schüler glauben daran, dass sie sie bei entsprechender Anstrengung schulische und gesellschaftliche Anforderungen bewältigen und mit ihren Möglichkeiten aktiv und verantwortungsvoll am gesellschaftlichen Leben teilhaben können.</w:t>
      </w: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Italic" w:eastAsia="Times-Italic" w:hAnsi="Times-Italic" w:cs="Times-Italic"/>
          <w:i/>
          <w:iCs/>
        </w:rPr>
      </w:pPr>
      <w:r>
        <w:rPr>
          <w:rFonts w:ascii="Times-Roman" w:eastAsia="Times-Roman" w:hAnsi="Times-Roman" w:cs="Times-Roman"/>
          <w:b/>
          <w:bCs/>
        </w:rPr>
        <w:t>Lernkompetenz</w:t>
      </w:r>
      <w:r>
        <w:rPr>
          <w:rFonts w:ascii="Times-Roman" w:eastAsia="Times-Roman" w:hAnsi="Times-Roman" w:cs="Times-Roman"/>
        </w:rPr>
        <w:t xml:space="preserve">: </w:t>
      </w: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Italic" w:eastAsia="Times-Italic" w:hAnsi="Times-Italic" w:cs="Times-Italic"/>
          <w:i/>
          <w:iCs/>
        </w:rPr>
      </w:pPr>
      <w:r>
        <w:rPr>
          <w:rFonts w:ascii="Times-Italic" w:eastAsia="Times-Italic" w:hAnsi="Times-Italic" w:cs="Times-Italic"/>
          <w:i/>
          <w:iCs/>
        </w:rPr>
        <w:t xml:space="preserve">Problemlösekompetenz: </w:t>
      </w:r>
      <w:r>
        <w:rPr>
          <w:rFonts w:ascii="Times-Roman" w:eastAsia="Times-Roman" w:hAnsi="Times-Roman" w:cs="Times-Roman"/>
        </w:rPr>
        <w:t>Die Lernenden planen ihren Arbeitsprozess, wobei sie die ihnen zur Verfügung stehenden Ressourcen sachgerecht einschätzen. Sie realisieren ihre Planungen selbstständig, indem sie die notwendigen Informationen erschließen und ihren Arbeitsfortschritt zielorientiert kontrollieren.</w:t>
      </w: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Roman" w:eastAsia="Times-Roman" w:hAnsi="Times-Roman" w:cs="Times-Roman"/>
          <w:b/>
          <w:bCs/>
        </w:rPr>
      </w:pPr>
      <w:r>
        <w:rPr>
          <w:rFonts w:ascii="Times-Italic" w:eastAsia="Times-Italic" w:hAnsi="Times-Italic" w:cs="Times-Italic"/>
          <w:i/>
          <w:iCs/>
        </w:rPr>
        <w:t xml:space="preserve">Medienkompetenz: </w:t>
      </w:r>
      <w:r>
        <w:rPr>
          <w:rFonts w:ascii="Times-Roman" w:eastAsia="Times-Roman" w:hAnsi="Times-Roman" w:cs="Times-Roman"/>
        </w:rPr>
        <w:t xml:space="preserve">Die Lernenden finden Zugang zu unterschiedlichen Medien. </w:t>
      </w: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Italic" w:eastAsia="Times-Italic" w:hAnsi="Times-Italic" w:cs="Times-Italic"/>
          <w:i/>
          <w:iCs/>
        </w:rPr>
      </w:pPr>
      <w:r>
        <w:rPr>
          <w:rFonts w:ascii="Times-Roman" w:eastAsia="Times-Roman" w:hAnsi="Times-Roman" w:cs="Times-Roman"/>
          <w:b/>
          <w:bCs/>
        </w:rPr>
        <w:t>Sprachkompetenz</w:t>
      </w:r>
      <w:r>
        <w:rPr>
          <w:rFonts w:ascii="Times-Roman" w:eastAsia="Times-Roman" w:hAnsi="Times-Roman" w:cs="Times-Roman"/>
        </w:rPr>
        <w:t xml:space="preserve">: </w:t>
      </w: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 New Roman" w:hAnsi="Times New Roman" w:cs="Times New Roman"/>
          <w:b/>
          <w:sz w:val="20"/>
          <w:szCs w:val="20"/>
        </w:rPr>
      </w:pPr>
      <w:r>
        <w:rPr>
          <w:rFonts w:ascii="Times-Italic" w:eastAsia="Times-Italic" w:hAnsi="Times-Italic" w:cs="Times-Italic"/>
          <w:i/>
          <w:iCs/>
        </w:rPr>
        <w:t xml:space="preserve">Lesekompetenz: </w:t>
      </w:r>
      <w:r>
        <w:rPr>
          <w:rFonts w:ascii="Times-Roman" w:eastAsia="Times-Roman" w:hAnsi="Times-Roman" w:cs="Times-Roman"/>
        </w:rPr>
        <w:t>Sie entnehmen aus mündlichen und schriftlichen Texten wesentliche Informationen und ziehen begründete Schlussfolgerungen.</w:t>
      </w:r>
      <w:r>
        <w:rPr>
          <w:rFonts w:ascii="Times-Roman" w:eastAsia="Times-Roman" w:hAnsi="Times-Roman" w:cs="Times-Roman"/>
        </w:rPr>
        <w:br/>
      </w:r>
      <w:r>
        <w:rPr>
          <w:rFonts w:ascii="Times-Italic" w:eastAsia="Times-Italic" w:hAnsi="Times-Italic" w:cs="Times-Italic"/>
          <w:i/>
          <w:iCs/>
        </w:rPr>
        <w:t xml:space="preserve">Schreibkompetenz: </w:t>
      </w:r>
      <w:r>
        <w:rPr>
          <w:rFonts w:ascii="Times-Roman" w:eastAsia="Times-Roman" w:hAnsi="Times-Roman" w:cs="Times-Roman"/>
        </w:rPr>
        <w:t>Die Lernenden verfassen Texte in unterschiedlichen Formaten und formulieren diese adressaten- und anlassbezogen. Sie gestalten ihre Texte unter Berücksichtigung von Sprach- und Textnormen.</w:t>
      </w: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jc w:val="center"/>
        <w:rPr>
          <w:rFonts w:ascii="Times New Roman" w:hAnsi="Times New Roman" w:cs="Times New Roman"/>
          <w:b/>
          <w:sz w:val="20"/>
          <w:szCs w:val="20"/>
        </w:rPr>
      </w:pP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jc w:val="center"/>
        <w:rPr>
          <w:rFonts w:ascii="Times New Roman" w:hAnsi="Times New Roman" w:cs="Times New Roman"/>
          <w:b/>
          <w:sz w:val="20"/>
          <w:szCs w:val="20"/>
        </w:rPr>
      </w:pP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jc w:val="center"/>
        <w:rPr>
          <w:rFonts w:ascii="Times New Roman" w:hAnsi="Times New Roman" w:cs="Times New Roman"/>
          <w:b/>
          <w:sz w:val="20"/>
          <w:szCs w:val="20"/>
        </w:rPr>
      </w:pP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7213"/>
        <w:gridCol w:w="7213"/>
      </w:tblGrid>
      <w:tr w:rsidR="009746F2">
        <w:tc>
          <w:tcPr>
            <w:tcW w:w="7213" w:type="dxa"/>
            <w:tcBorders>
              <w:top w:val="single" w:sz="4" w:space="0" w:color="000000"/>
              <w:left w:val="single" w:sz="4" w:space="0" w:color="000000"/>
              <w:bottom w:val="single" w:sz="4" w:space="0" w:color="000000"/>
              <w:right w:val="single" w:sz="4" w:space="0" w:color="000000"/>
            </w:tcBorders>
            <w:shd w:val="clear" w:color="auto" w:fill="FFFFFF"/>
          </w:tcPr>
          <w:p w:rsidR="009746F2" w:rsidRDefault="009746F2">
            <w:pPr>
              <w:spacing w:after="0" w:line="100" w:lineRule="atLeast"/>
              <w:rPr>
                <w:rFonts w:ascii="Times New Roman" w:hAnsi="Times New Roman" w:cs="Times New Roman"/>
                <w:b/>
                <w:sz w:val="20"/>
                <w:szCs w:val="20"/>
              </w:rPr>
            </w:pPr>
            <w:r>
              <w:rPr>
                <w:rFonts w:ascii="Times New Roman" w:hAnsi="Times New Roman" w:cs="Times New Roman"/>
                <w:b/>
                <w:sz w:val="20"/>
                <w:szCs w:val="20"/>
              </w:rPr>
              <w:t>Fachliche Kompetenzen / Kompetenzbereich</w:t>
            </w:r>
          </w:p>
        </w:tc>
        <w:tc>
          <w:tcPr>
            <w:tcW w:w="721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46F2" w:rsidRDefault="009746F2">
            <w:pPr>
              <w:spacing w:after="0" w:line="100" w:lineRule="atLeast"/>
              <w:rPr>
                <w:rFonts w:ascii="Times New Roman" w:hAnsi="Times New Roman" w:cs="Times New Roman"/>
                <w:sz w:val="20"/>
                <w:szCs w:val="20"/>
              </w:rPr>
            </w:pPr>
            <w:r>
              <w:rPr>
                <w:rFonts w:ascii="Times New Roman" w:hAnsi="Times New Roman" w:cs="Times New Roman"/>
                <w:b/>
                <w:sz w:val="20"/>
                <w:szCs w:val="20"/>
              </w:rPr>
              <w:t xml:space="preserve">Inhaltliche Konzepte/Inhaltsfelder: </w:t>
            </w: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r>
              <w:rPr>
                <w:rFonts w:ascii="Times New Roman" w:hAnsi="Times New Roman" w:cs="Times New Roman"/>
                <w:sz w:val="20"/>
                <w:szCs w:val="20"/>
              </w:rPr>
              <w:t>Schreibformen und Strategien</w:t>
            </w: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r>
              <w:rPr>
                <w:rFonts w:ascii="Times New Roman" w:hAnsi="Times New Roman" w:cs="Times New Roman"/>
                <w:sz w:val="20"/>
                <w:szCs w:val="20"/>
              </w:rPr>
              <w:t xml:space="preserve">Text- / Medienformen </w:t>
            </w: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r>
              <w:rPr>
                <w:rFonts w:ascii="Times New Roman" w:hAnsi="Times New Roman" w:cs="Times New Roman"/>
                <w:sz w:val="20"/>
                <w:szCs w:val="20"/>
              </w:rPr>
              <w:t xml:space="preserve">Sprachformen und -strukturen </w:t>
            </w: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tc>
      </w:tr>
      <w:tr w:rsidR="009746F2">
        <w:tc>
          <w:tcPr>
            <w:tcW w:w="7213" w:type="dxa"/>
            <w:tcBorders>
              <w:top w:val="single" w:sz="4" w:space="0" w:color="000000"/>
              <w:left w:val="single" w:sz="4" w:space="0" w:color="000000"/>
              <w:bottom w:val="single" w:sz="4" w:space="0" w:color="000000"/>
              <w:right w:val="single" w:sz="4" w:space="0" w:color="000000"/>
            </w:tcBorders>
            <w:shd w:val="clear" w:color="auto" w:fill="FFFFFF"/>
          </w:tcPr>
          <w:p w:rsidR="009746F2" w:rsidRDefault="009746F2">
            <w:pPr>
              <w:spacing w:after="0" w:line="100" w:lineRule="atLeast"/>
              <w:rPr>
                <w:rFonts w:ascii="Times-Roman" w:eastAsia="Times-Roman" w:hAnsi="Times-Roman" w:cs="Times-Roman"/>
              </w:rPr>
            </w:pPr>
            <w:r>
              <w:rPr>
                <w:rFonts w:ascii="Times-Bold" w:eastAsia="Times-Bold" w:hAnsi="Times-Bold" w:cs="Times-Bold"/>
                <w:b/>
                <w:bCs/>
              </w:rPr>
              <w:t>Schreiben</w:t>
            </w:r>
          </w:p>
          <w:p w:rsidR="009746F2" w:rsidRDefault="009746F2">
            <w:pPr>
              <w:spacing w:after="0" w:line="100" w:lineRule="atLeast"/>
              <w:rPr>
                <w:rFonts w:ascii="Times-Bold" w:eastAsia="Times-Bold" w:hAnsi="Times-Bold" w:cs="Times-Bold"/>
                <w:b/>
                <w:bCs/>
              </w:rPr>
            </w:pPr>
            <w:r>
              <w:rPr>
                <w:rFonts w:ascii="Times-Roman" w:eastAsia="Times-Roman" w:hAnsi="Times-Roman" w:cs="Times-Roman"/>
              </w:rPr>
              <w:t xml:space="preserve">Dem Schreibanlass entsprechend verfassen die Lernenden unter Verwendung verschiedener Schreibwerkzeuge und elektronischer Schreibprogramme Texte eigenständig, zielgerichtet, situations- und adressatenbezogen. </w:t>
            </w:r>
            <w:r>
              <w:rPr>
                <w:rFonts w:ascii="Times-Roman" w:eastAsia="Times-Roman" w:hAnsi="Times-Roman" w:cs="Times-Roman"/>
              </w:rPr>
              <w:br/>
              <w:t xml:space="preserve">Sie gestalten ihre Texte sprachlich und stilistisch stimmig und verfassen sie unter Beachtung von Strategien zur Fehlervermeidung.  </w:t>
            </w:r>
            <w:r>
              <w:rPr>
                <w:rFonts w:ascii="Times-Roman" w:eastAsia="Times-Roman" w:hAnsi="Times-Roman" w:cs="Times-Roman"/>
              </w:rPr>
              <w:br/>
            </w:r>
            <w:r>
              <w:rPr>
                <w:rFonts w:ascii="Times-Roman" w:eastAsia="Times-Roman" w:hAnsi="Times-Roman" w:cs="Times-Roman"/>
                <w:b/>
                <w:bCs/>
              </w:rPr>
              <w:t>Lesen und Rezipieren</w:t>
            </w:r>
            <w:r>
              <w:rPr>
                <w:rFonts w:ascii="Times-Roman" w:eastAsia="Times-Roman" w:hAnsi="Times-Roman" w:cs="Times-Roman"/>
              </w:rPr>
              <w:br/>
              <w:t xml:space="preserve">Sie entnehmen selbstständig Informationen aus Texten/Medien. </w:t>
            </w:r>
          </w:p>
          <w:p w:rsidR="009746F2" w:rsidRDefault="009746F2">
            <w:pPr>
              <w:spacing w:after="0" w:line="100" w:lineRule="atLeast"/>
              <w:rPr>
                <w:rFonts w:ascii="Times-Roman" w:eastAsia="Times-Roman" w:hAnsi="Times-Roman" w:cs="Times-Roman"/>
              </w:rPr>
            </w:pPr>
            <w:r>
              <w:rPr>
                <w:rFonts w:ascii="Times-Bold" w:eastAsia="Times-Bold" w:hAnsi="Times-Bold" w:cs="Times-Bold"/>
                <w:b/>
                <w:bCs/>
              </w:rPr>
              <w:t>Sprache und Sprachgebrauch untersuchen und reflektieren</w:t>
            </w:r>
          </w:p>
          <w:p w:rsidR="009746F2" w:rsidRDefault="009746F2">
            <w:pPr>
              <w:spacing w:after="0" w:line="100" w:lineRule="atLeast"/>
              <w:rPr>
                <w:rFonts w:ascii="Times-Roman" w:eastAsia="Times-Roman" w:hAnsi="Times-Roman" w:cs="Times-Roman"/>
              </w:rPr>
            </w:pPr>
            <w:r>
              <w:rPr>
                <w:rFonts w:ascii="Times-Roman" w:eastAsia="Times-Roman" w:hAnsi="Times-Roman" w:cs="Times-Roman"/>
              </w:rPr>
              <w:t xml:space="preserve">Sie untersuchen und formulieren unter Berücksichtigung konzeptioneller Unterschiede von gesprochener und geschriebener Sprache Texte nach </w:t>
            </w:r>
            <w:r>
              <w:rPr>
                <w:rFonts w:ascii="Times-Roman" w:eastAsia="Times-Roman" w:hAnsi="Times-Roman" w:cs="Times-Roman"/>
              </w:rPr>
              <w:lastRenderedPageBreak/>
              <w:t>funktionalen und normativen Gesichtspunkten.</w:t>
            </w:r>
          </w:p>
          <w:p w:rsidR="009746F2" w:rsidRDefault="009746F2">
            <w:pPr>
              <w:spacing w:after="0" w:line="100" w:lineRule="atLeast"/>
              <w:rPr>
                <w:rFonts w:ascii="Times-Roman" w:eastAsia="Times-Roman" w:hAnsi="Times-Roman" w:cs="Times-Roman"/>
              </w:rPr>
            </w:pPr>
          </w:p>
          <w:p w:rsidR="009746F2" w:rsidRDefault="009746F2">
            <w:pPr>
              <w:spacing w:after="0" w:line="100" w:lineRule="atLeast"/>
              <w:rPr>
                <w:rFonts w:ascii="Times-Roman" w:eastAsia="Times-Roman" w:hAnsi="Times-Roman" w:cs="Times-Roman"/>
              </w:rPr>
            </w:pPr>
          </w:p>
        </w:tc>
        <w:tc>
          <w:tcPr>
            <w:tcW w:w="7213" w:type="dxa"/>
            <w:vMerge/>
            <w:tcBorders>
              <w:top w:val="single" w:sz="4" w:space="0" w:color="000000"/>
              <w:left w:val="single" w:sz="4" w:space="0" w:color="000000"/>
              <w:bottom w:val="single" w:sz="4" w:space="0" w:color="000000"/>
              <w:right w:val="single" w:sz="4" w:space="0" w:color="000000"/>
            </w:tcBorders>
            <w:shd w:val="clear" w:color="auto" w:fill="FFFFFF"/>
          </w:tcPr>
          <w:p w:rsidR="009746F2" w:rsidRDefault="009746F2"/>
        </w:tc>
      </w:tr>
    </w:tbl>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4800"/>
        <w:gridCol w:w="6505"/>
        <w:gridCol w:w="3121"/>
      </w:tblGrid>
      <w:tr w:rsidR="009746F2">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9746F2" w:rsidRDefault="009746F2">
            <w:pPr>
              <w:spacing w:after="0" w:line="100" w:lineRule="atLeast"/>
              <w:rPr>
                <w:rFonts w:ascii="Times New Roman" w:hAnsi="Times New Roman" w:cs="Times New Roman"/>
                <w:b/>
                <w:sz w:val="20"/>
                <w:szCs w:val="20"/>
              </w:rPr>
            </w:pPr>
            <w:r>
              <w:rPr>
                <w:rFonts w:ascii="Times New Roman" w:hAnsi="Times New Roman" w:cs="Times New Roman"/>
                <w:b/>
                <w:sz w:val="20"/>
                <w:szCs w:val="20"/>
              </w:rPr>
              <w:t xml:space="preserve">Inhaltsbezogene Kompetenzen </w:t>
            </w:r>
          </w:p>
          <w:p w:rsidR="009746F2" w:rsidRDefault="009746F2">
            <w:pPr>
              <w:spacing w:after="0" w:line="100" w:lineRule="atLeast"/>
              <w:rPr>
                <w:rFonts w:ascii="Times New Roman" w:eastAsia="Times-Roman" w:hAnsi="Times New Roman" w:cs="Times-Roman"/>
                <w:b/>
                <w:bCs/>
                <w:sz w:val="20"/>
                <w:szCs w:val="20"/>
              </w:rPr>
            </w:pPr>
            <w:r>
              <w:rPr>
                <w:rFonts w:ascii="Times New Roman" w:hAnsi="Times New Roman" w:cs="Times New Roman"/>
                <w:b/>
                <w:sz w:val="20"/>
                <w:szCs w:val="20"/>
              </w:rPr>
              <w:t xml:space="preserve">Schreiben: Textproduktion </w:t>
            </w:r>
          </w:p>
          <w:p w:rsidR="009746F2" w:rsidRDefault="009746F2">
            <w:pPr>
              <w:spacing w:after="0" w:line="100" w:lineRule="atLeast"/>
              <w:ind w:left="42" w:right="12"/>
              <w:rPr>
                <w:rFonts w:ascii="Times New Roman" w:eastAsia="Times-Roman" w:hAnsi="Times New Roman" w:cs="Times-Roman"/>
                <w:b/>
                <w:bCs/>
                <w:sz w:val="20"/>
                <w:szCs w:val="20"/>
              </w:rPr>
            </w:pPr>
            <w:r>
              <w:rPr>
                <w:rFonts w:ascii="Times New Roman" w:eastAsia="Times-Roman" w:hAnsi="Times New Roman" w:cs="Times-Roman"/>
                <w:b/>
                <w:bCs/>
                <w:sz w:val="20"/>
                <w:szCs w:val="20"/>
              </w:rPr>
              <w:t>Schreibformen</w:t>
            </w:r>
            <w:r>
              <w:rPr>
                <w:rFonts w:ascii="Times New Roman" w:eastAsia="Times-Roman" w:hAnsi="Times New Roman" w:cs="Times-Roman"/>
                <w:sz w:val="20"/>
                <w:szCs w:val="20"/>
              </w:rPr>
              <w:t>: Die Schreibhandlungen werden durch bestimmte Texttechniken und Formulierungsverfahren realisiert, die im Zusammenhang konventionelle Textsorten bilden können.</w:t>
            </w:r>
            <w:r>
              <w:rPr>
                <w:rFonts w:ascii="Times New Roman" w:eastAsia="Times-Roman" w:hAnsi="Times New Roman" w:cs="Times-Roman"/>
                <w:sz w:val="20"/>
                <w:szCs w:val="20"/>
              </w:rPr>
              <w:br/>
            </w:r>
          </w:p>
          <w:p w:rsidR="009746F2" w:rsidRDefault="009746F2">
            <w:pPr>
              <w:autoSpaceDE w:val="0"/>
              <w:rPr>
                <w:rFonts w:ascii="Times-Roman" w:eastAsia="Times-Roman" w:hAnsi="Times-Roman" w:cs="Times-Roman"/>
                <w:b/>
                <w:bCs/>
                <w:sz w:val="20"/>
                <w:szCs w:val="20"/>
              </w:rPr>
            </w:pPr>
            <w:r>
              <w:rPr>
                <w:rFonts w:ascii="Times New Roman" w:eastAsia="Times-Roman" w:hAnsi="Times New Roman" w:cs="Times-Roman"/>
                <w:b/>
                <w:bCs/>
                <w:sz w:val="20"/>
                <w:szCs w:val="20"/>
              </w:rPr>
              <w:t>Schreibstrategien</w:t>
            </w:r>
            <w:r>
              <w:rPr>
                <w:rFonts w:ascii="Times New Roman" w:eastAsia="Times-Roman" w:hAnsi="Times New Roman" w:cs="Times-Roman"/>
                <w:sz w:val="20"/>
                <w:szCs w:val="20"/>
              </w:rPr>
              <w:t xml:space="preserve">: </w:t>
            </w:r>
            <w:r>
              <w:rPr>
                <w:rFonts w:ascii="Times New Roman" w:eastAsia="Times-Roman" w:hAnsi="Times New Roman" w:cs="Times-Roman"/>
                <w:sz w:val="20"/>
                <w:szCs w:val="20"/>
              </w:rPr>
              <w:br/>
              <w:t>Bei der Umsetzung der verschiedenen Strategien kann auf die Gestaltungs- und Überarbeitungsmöglichkeiten der verschiedenen Schreibmedien (</w:t>
            </w:r>
            <w:r>
              <w:rPr>
                <w:rFonts w:ascii="Times New Roman" w:eastAsia="Times-Bold" w:hAnsi="Times New Roman" w:cs="Times-Bold"/>
                <w:b/>
                <w:bCs/>
                <w:sz w:val="20"/>
                <w:szCs w:val="20"/>
              </w:rPr>
              <w:t>Computer</w:t>
            </w:r>
            <w:r>
              <w:rPr>
                <w:rFonts w:ascii="Times New Roman" w:eastAsia="Times-Roman" w:hAnsi="Times New Roman" w:cs="Times-Roman"/>
                <w:sz w:val="20"/>
                <w:szCs w:val="20"/>
              </w:rPr>
              <w:t xml:space="preserve">) zurückgegriffen werden. </w:t>
            </w:r>
          </w:p>
          <w:p w:rsidR="009746F2" w:rsidRDefault="009746F2">
            <w:pPr>
              <w:autoSpaceDE w:val="0"/>
              <w:rPr>
                <w:rFonts w:ascii="Times New Roman" w:eastAsia="Times-Bold" w:hAnsi="Times New Roman" w:cs="Times-Bold"/>
                <w:b/>
                <w:bCs/>
                <w:sz w:val="20"/>
                <w:szCs w:val="20"/>
              </w:rPr>
            </w:pPr>
            <w:r>
              <w:rPr>
                <w:rFonts w:ascii="Times-Roman" w:eastAsia="Times-Roman" w:hAnsi="Times-Roman" w:cs="Times-Roman"/>
                <w:b/>
                <w:bCs/>
                <w:sz w:val="20"/>
                <w:szCs w:val="20"/>
              </w:rPr>
              <w:t>Lesen und Rezipieren –mit nichtliterarischen Texten/Medien umgehen</w:t>
            </w:r>
          </w:p>
          <w:p w:rsidR="009746F2" w:rsidRDefault="009746F2">
            <w:pPr>
              <w:autoSpaceDE w:val="0"/>
              <w:rPr>
                <w:rFonts w:ascii="Times-Roman" w:eastAsia="Times-Roman" w:hAnsi="Times-Roman" w:cs="Times-Roman"/>
                <w:b/>
                <w:bCs/>
                <w:sz w:val="20"/>
                <w:szCs w:val="20"/>
              </w:rPr>
            </w:pPr>
            <w:r>
              <w:rPr>
                <w:rFonts w:ascii="Times New Roman" w:eastAsia="Times-Bold" w:hAnsi="Times New Roman" w:cs="Times-Bold"/>
                <w:b/>
                <w:bCs/>
                <w:sz w:val="20"/>
                <w:szCs w:val="20"/>
              </w:rPr>
              <w:t>Lese- und Rezeptionsstrategien</w:t>
            </w:r>
            <w:r>
              <w:rPr>
                <w:rFonts w:ascii="Times New Roman" w:eastAsia="Times-Bold" w:hAnsi="Times New Roman" w:cs="Times-Bold"/>
                <w:b/>
                <w:bCs/>
                <w:sz w:val="20"/>
                <w:szCs w:val="20"/>
              </w:rPr>
              <w:br/>
            </w:r>
            <w:r>
              <w:rPr>
                <w:rFonts w:ascii="Times New Roman" w:eastAsia="Times-Roman" w:hAnsi="Times New Roman" w:cs="Times-Roman"/>
                <w:sz w:val="20"/>
                <w:szCs w:val="20"/>
              </w:rPr>
              <w:t>Lese- und Rezeptionsstrategien ermöglichen das zunehmend automatisierte Feststellen und Entnehmen von Schlüsselinformationen.</w:t>
            </w:r>
            <w:r>
              <w:rPr>
                <w:rFonts w:ascii="Times New Roman" w:eastAsia="Times-Roman" w:hAnsi="Times New Roman" w:cs="Times-Roman"/>
                <w:sz w:val="20"/>
                <w:szCs w:val="20"/>
              </w:rPr>
              <w:br/>
            </w:r>
          </w:p>
          <w:p w:rsidR="009746F2" w:rsidRDefault="009746F2">
            <w:pPr>
              <w:autoSpaceDE w:val="0"/>
              <w:rPr>
                <w:rFonts w:ascii="Times New Roman" w:hAnsi="Times New Roman" w:cs="Times-Roman"/>
                <w:sz w:val="20"/>
                <w:szCs w:val="20"/>
              </w:rPr>
            </w:pPr>
            <w:r>
              <w:rPr>
                <w:rFonts w:ascii="Times-Roman" w:eastAsia="Times-Roman" w:hAnsi="Times-Roman" w:cs="Times-Roman"/>
                <w:b/>
                <w:bCs/>
                <w:sz w:val="20"/>
                <w:szCs w:val="20"/>
              </w:rPr>
              <w:t>Sprache und Sprachgebrauch untersuchen und reflektieren</w:t>
            </w:r>
            <w:r>
              <w:rPr>
                <w:rFonts w:ascii="Times-Roman" w:eastAsia="Times-Roman" w:hAnsi="Times-Roman" w:cs="Times-Roman"/>
                <w:b/>
                <w:bCs/>
                <w:sz w:val="20"/>
                <w:szCs w:val="20"/>
              </w:rPr>
              <w:br/>
            </w:r>
            <w:r>
              <w:rPr>
                <w:rFonts w:ascii="Times New Roman" w:eastAsia="Times-Bold" w:hAnsi="Times New Roman" w:cs="Times-Bold"/>
                <w:sz w:val="20"/>
                <w:szCs w:val="20"/>
              </w:rPr>
              <w:t>Analyseverfahren</w:t>
            </w:r>
            <w:r>
              <w:rPr>
                <w:rFonts w:ascii="Times New Roman" w:eastAsia="Times-Bold" w:hAnsi="Times New Roman" w:cs="Times-Bold"/>
                <w:sz w:val="20"/>
                <w:szCs w:val="20"/>
              </w:rPr>
              <w:br/>
              <w:t xml:space="preserve">Das </w:t>
            </w:r>
            <w:r>
              <w:rPr>
                <w:rFonts w:ascii="Times New Roman" w:eastAsia="Times-Roman" w:hAnsi="Times New Roman" w:cs="Times-Roman"/>
                <w:sz w:val="20"/>
                <w:szCs w:val="20"/>
              </w:rPr>
              <w:t>Ermitteln inhaltlich-thematischer, sprachlich-stilistischer sowie strukturell-formaler Gestaltungsmittel.</w:t>
            </w:r>
          </w:p>
          <w:p w:rsidR="009746F2" w:rsidRDefault="009746F2">
            <w:pPr>
              <w:autoSpaceDE w:val="0"/>
              <w:rPr>
                <w:rFonts w:ascii="Times New Roman" w:hAnsi="Times New Roman" w:cs="Times-Roman"/>
                <w:sz w:val="20"/>
                <w:szCs w:val="20"/>
              </w:rPr>
            </w:pPr>
          </w:p>
        </w:tc>
        <w:tc>
          <w:tcPr>
            <w:tcW w:w="6505" w:type="dxa"/>
            <w:tcBorders>
              <w:top w:val="single" w:sz="4" w:space="0" w:color="000000"/>
              <w:left w:val="single" w:sz="4" w:space="0" w:color="000000"/>
              <w:bottom w:val="single" w:sz="4" w:space="0" w:color="000000"/>
              <w:right w:val="single" w:sz="4" w:space="0" w:color="000000"/>
            </w:tcBorders>
            <w:shd w:val="clear" w:color="auto" w:fill="FFFFFF"/>
          </w:tcPr>
          <w:p w:rsidR="009746F2" w:rsidRDefault="009746F2">
            <w:pPr>
              <w:spacing w:after="0" w:line="100" w:lineRule="atLeast"/>
              <w:rPr>
                <w:rFonts w:ascii="Times New Roman" w:hAnsi="Times New Roman" w:cs="Times New Roman"/>
                <w:sz w:val="20"/>
                <w:szCs w:val="20"/>
              </w:rPr>
            </w:pPr>
            <w:r>
              <w:rPr>
                <w:rFonts w:ascii="Times New Roman" w:hAnsi="Times New Roman" w:cs="Times New Roman"/>
                <w:b/>
                <w:sz w:val="20"/>
                <w:szCs w:val="20"/>
              </w:rPr>
              <w:t xml:space="preserve">Inhaltliche Konkretisierung:  </w:t>
            </w:r>
          </w:p>
          <w:p w:rsidR="009746F2" w:rsidRDefault="009746F2">
            <w:pPr>
              <w:spacing w:after="0" w:line="100" w:lineRule="atLeast"/>
              <w:rPr>
                <w:rFonts w:ascii="Times New Roman" w:hAnsi="Times New Roman" w:cs="Times New Roman"/>
                <w:sz w:val="20"/>
                <w:szCs w:val="20"/>
              </w:rPr>
            </w:pPr>
            <w:r>
              <w:rPr>
                <w:rFonts w:ascii="Times New Roman" w:hAnsi="Times New Roman" w:cs="Times New Roman"/>
                <w:sz w:val="20"/>
                <w:szCs w:val="20"/>
              </w:rPr>
              <w:t xml:space="preserve">Die SuS verfassen sowohl Bewerbungsanschreiben als auch Lebensläufe nach einem vorgegebenem Muster. </w:t>
            </w:r>
            <w:r>
              <w:rPr>
                <w:rFonts w:ascii="Times New Roman" w:hAnsi="Times New Roman" w:cs="Times New Roman"/>
                <w:b/>
                <w:sz w:val="20"/>
                <w:szCs w:val="20"/>
              </w:rPr>
              <w:br/>
            </w:r>
            <w:r>
              <w:rPr>
                <w:rFonts w:ascii="Times New Roman" w:hAnsi="Times New Roman" w:cs="Times New Roman"/>
                <w:sz w:val="20"/>
                <w:szCs w:val="20"/>
              </w:rPr>
              <w:t>Textbausteine für Bewerbungsanschreiben werden angemessen verwendet.</w:t>
            </w:r>
            <w:r>
              <w:rPr>
                <w:rFonts w:ascii="Times New Roman" w:hAnsi="Times New Roman" w:cs="Times New Roman"/>
                <w:sz w:val="20"/>
                <w:szCs w:val="20"/>
              </w:rPr>
              <w:br/>
              <w:t>Textformen für den Praktikumsbericht werden eingeübt (Tagesberichte, Vorgangsbeschreibungen)</w:t>
            </w: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ind w:left="360"/>
              <w:rPr>
                <w:rFonts w:ascii="Times New Roman" w:hAnsi="Times New Roman" w:cs="Times New Roman"/>
                <w:sz w:val="20"/>
                <w:szCs w:val="20"/>
              </w:rPr>
            </w:pPr>
          </w:p>
          <w:p w:rsidR="009746F2" w:rsidRDefault="009746F2">
            <w:pPr>
              <w:spacing w:after="0" w:line="100" w:lineRule="atLeast"/>
              <w:ind w:left="72" w:right="12"/>
              <w:rPr>
                <w:rFonts w:ascii="Times New Roman" w:hAnsi="Times New Roman" w:cs="Times New Roman"/>
                <w:sz w:val="20"/>
                <w:szCs w:val="20"/>
              </w:rPr>
            </w:pPr>
            <w:r>
              <w:rPr>
                <w:rFonts w:ascii="Times New Roman" w:hAnsi="Times New Roman" w:cs="Times New Roman"/>
                <w:sz w:val="20"/>
                <w:szCs w:val="20"/>
              </w:rPr>
              <w:t>Die SuS verfassen und überarbeiten eigene Bewerbungen am Computer.</w:t>
            </w:r>
          </w:p>
          <w:p w:rsidR="009746F2" w:rsidRDefault="009746F2">
            <w:pPr>
              <w:spacing w:after="0" w:line="100" w:lineRule="atLeast"/>
              <w:ind w:left="360"/>
              <w:rPr>
                <w:rFonts w:ascii="Times New Roman" w:hAnsi="Times New Roman" w:cs="Times New Roman"/>
                <w:sz w:val="20"/>
                <w:szCs w:val="20"/>
              </w:rPr>
            </w:pPr>
          </w:p>
          <w:p w:rsidR="009746F2" w:rsidRDefault="009746F2">
            <w:pPr>
              <w:spacing w:after="0" w:line="100" w:lineRule="atLeast"/>
              <w:ind w:left="360"/>
              <w:rPr>
                <w:rFonts w:ascii="Times New Roman" w:hAnsi="Times New Roman" w:cs="Times New Roman"/>
                <w:b/>
                <w:sz w:val="20"/>
                <w:szCs w:val="20"/>
              </w:rPr>
            </w:pPr>
            <w:r>
              <w:rPr>
                <w:rFonts w:ascii="Times New Roman" w:hAnsi="Times New Roman" w:cs="Times New Roman"/>
                <w:sz w:val="20"/>
                <w:szCs w:val="20"/>
              </w:rPr>
              <w:t xml:space="preserve"> </w:t>
            </w:r>
          </w:p>
          <w:p w:rsidR="009746F2" w:rsidRDefault="009746F2">
            <w:pPr>
              <w:spacing w:after="0" w:line="100" w:lineRule="atLeast"/>
              <w:ind w:left="360"/>
              <w:rPr>
                <w:rFonts w:ascii="Times New Roman" w:hAnsi="Times New Roman" w:cs="Times New Roman"/>
                <w:b/>
                <w:sz w:val="20"/>
                <w:szCs w:val="20"/>
              </w:rPr>
            </w:pPr>
          </w:p>
          <w:p w:rsidR="009746F2" w:rsidRDefault="009746F2">
            <w:pPr>
              <w:spacing w:after="0" w:line="100" w:lineRule="atLeast"/>
              <w:ind w:left="360"/>
              <w:rPr>
                <w:rFonts w:ascii="Times New Roman" w:hAnsi="Times New Roman" w:cs="Times New Roman"/>
                <w:b/>
                <w:sz w:val="20"/>
                <w:szCs w:val="20"/>
              </w:rPr>
            </w:pPr>
          </w:p>
          <w:p w:rsidR="009746F2" w:rsidRDefault="009746F2">
            <w:pPr>
              <w:spacing w:after="0" w:line="100" w:lineRule="atLeast"/>
              <w:ind w:left="360"/>
              <w:rPr>
                <w:rFonts w:ascii="Times New Roman" w:hAnsi="Times New Roman" w:cs="Times New Roman"/>
                <w:b/>
                <w:sz w:val="20"/>
                <w:szCs w:val="20"/>
              </w:rPr>
            </w:pPr>
          </w:p>
          <w:p w:rsidR="009746F2" w:rsidRDefault="009746F2">
            <w:pPr>
              <w:spacing w:after="0" w:line="100" w:lineRule="atLeast"/>
              <w:ind w:left="360"/>
              <w:rPr>
                <w:rFonts w:ascii="Times New Roman" w:hAnsi="Times New Roman" w:cs="Times New Roman"/>
                <w:b/>
                <w:sz w:val="20"/>
                <w:szCs w:val="20"/>
              </w:rPr>
            </w:pPr>
          </w:p>
          <w:p w:rsidR="009746F2" w:rsidRDefault="009746F2">
            <w:pPr>
              <w:spacing w:after="0" w:line="100" w:lineRule="atLeast"/>
              <w:ind w:left="360"/>
              <w:rPr>
                <w:rFonts w:ascii="Times New Roman" w:hAnsi="Times New Roman" w:cs="Times New Roman"/>
                <w:b/>
                <w:sz w:val="20"/>
                <w:szCs w:val="20"/>
              </w:rPr>
            </w:pPr>
          </w:p>
          <w:p w:rsidR="009746F2" w:rsidRDefault="009746F2">
            <w:pPr>
              <w:spacing w:after="0" w:line="100" w:lineRule="atLeast"/>
              <w:ind w:left="87" w:right="12"/>
              <w:rPr>
                <w:rFonts w:ascii="Times New Roman" w:hAnsi="Times New Roman"/>
                <w:sz w:val="20"/>
                <w:szCs w:val="20"/>
              </w:rPr>
            </w:pPr>
            <w:r>
              <w:rPr>
                <w:rFonts w:ascii="Times New Roman" w:hAnsi="Times New Roman"/>
                <w:sz w:val="20"/>
                <w:szCs w:val="20"/>
              </w:rPr>
              <w:t>Die SuS lernen Stellenanzeigen zu lesen und zu verstehen. (Erfassung und Deutung von Softskills, Berücksichtigung dieser bei der eigenen Bewerbung).</w:t>
            </w:r>
            <w:r>
              <w:rPr>
                <w:rFonts w:ascii="Times New Roman" w:hAnsi="Times New Roman"/>
                <w:sz w:val="20"/>
                <w:szCs w:val="20"/>
              </w:rPr>
              <w:br/>
              <w:t xml:space="preserve">Die SuS entnehmen fiktiven Lebensbeschreibungen Informationen und verfassen daraus einen tabellarischen Lebenslauf. </w:t>
            </w:r>
            <w:r>
              <w:rPr>
                <w:rFonts w:ascii="Times New Roman" w:hAnsi="Times New Roman"/>
                <w:sz w:val="20"/>
                <w:szCs w:val="20"/>
              </w:rPr>
              <w:br/>
              <w:t xml:space="preserve">Aus unterschiedlichen Medien Informationen zu Berufsbildern entnehmen und aufbereiten. </w:t>
            </w:r>
          </w:p>
          <w:p w:rsidR="009746F2" w:rsidRDefault="009746F2">
            <w:pPr>
              <w:spacing w:after="0" w:line="100" w:lineRule="atLeast"/>
              <w:ind w:left="87" w:right="12"/>
              <w:rPr>
                <w:rFonts w:ascii="Times New Roman" w:hAnsi="Times New Roman"/>
                <w:sz w:val="20"/>
                <w:szCs w:val="20"/>
              </w:rPr>
            </w:pPr>
          </w:p>
          <w:p w:rsidR="009746F2" w:rsidRDefault="009746F2">
            <w:pPr>
              <w:spacing w:after="0" w:line="100" w:lineRule="atLeast"/>
              <w:ind w:left="87" w:right="12"/>
              <w:rPr>
                <w:rFonts w:ascii="Times New Roman" w:hAnsi="Times New Roman"/>
                <w:sz w:val="20"/>
                <w:szCs w:val="20"/>
              </w:rPr>
            </w:pPr>
          </w:p>
          <w:p w:rsidR="009746F2" w:rsidRDefault="009746F2">
            <w:pPr>
              <w:spacing w:after="0" w:line="100" w:lineRule="atLeast"/>
              <w:ind w:left="87" w:right="12"/>
              <w:rPr>
                <w:rFonts w:ascii="Times New Roman" w:hAnsi="Times New Roman" w:cs="Times New Roman"/>
                <w:b/>
                <w:sz w:val="20"/>
                <w:szCs w:val="20"/>
              </w:rPr>
            </w:pPr>
            <w:r>
              <w:rPr>
                <w:rFonts w:ascii="Times New Roman" w:hAnsi="Times New Roman"/>
                <w:sz w:val="20"/>
                <w:szCs w:val="20"/>
              </w:rPr>
              <w:t xml:space="preserve">Siehe oben </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rsidR="009746F2" w:rsidRDefault="009746F2">
            <w:pPr>
              <w:spacing w:after="0" w:line="100" w:lineRule="atLeast"/>
              <w:rPr>
                <w:rFonts w:ascii="Times New Roman" w:hAnsi="Times New Roman" w:cs="Times New Roman"/>
                <w:sz w:val="20"/>
                <w:szCs w:val="20"/>
              </w:rPr>
            </w:pPr>
            <w:r>
              <w:rPr>
                <w:rFonts w:ascii="Times New Roman" w:hAnsi="Times New Roman" w:cs="Times New Roman"/>
                <w:b/>
                <w:sz w:val="20"/>
                <w:szCs w:val="20"/>
              </w:rPr>
              <w:t xml:space="preserve">Materialien: </w:t>
            </w:r>
          </w:p>
          <w:p w:rsidR="009746F2" w:rsidRDefault="009746F2">
            <w:pPr>
              <w:spacing w:after="0" w:line="100" w:lineRule="atLeast"/>
              <w:rPr>
                <w:rFonts w:ascii="Times New Roman" w:hAnsi="Times New Roman" w:cs="Times New Roman"/>
                <w:sz w:val="20"/>
                <w:szCs w:val="20"/>
              </w:rPr>
            </w:pPr>
            <w:r>
              <w:rPr>
                <w:rFonts w:ascii="Times New Roman" w:hAnsi="Times New Roman" w:cs="Times New Roman"/>
                <w:sz w:val="20"/>
                <w:szCs w:val="20"/>
              </w:rPr>
              <w:t xml:space="preserve">Deutschbuch S. 197-204, Bewerbungshefte z. B. bei der Sparkasse, Stellenanzeigen aus Tageszeitungen und Internet  </w:t>
            </w:r>
          </w:p>
          <w:p w:rsidR="009746F2" w:rsidRDefault="009746F2">
            <w:pPr>
              <w:spacing w:after="0" w:line="100" w:lineRule="atLeast"/>
              <w:rPr>
                <w:rFonts w:ascii="Times New Roman" w:hAnsi="Times New Roman" w:cs="Times New Roman"/>
                <w:sz w:val="20"/>
                <w:szCs w:val="20"/>
              </w:rPr>
            </w:pPr>
          </w:p>
        </w:tc>
      </w:tr>
    </w:tbl>
    <w:p w:rsidR="009746F2" w:rsidRDefault="009746F2">
      <w:pPr>
        <w:spacing w:after="0" w:line="100" w:lineRule="atLeast"/>
        <w:rPr>
          <w:rFonts w:ascii="Times New Roman" w:hAnsi="Times New Roman" w:cs="Times New Roman"/>
          <w:sz w:val="20"/>
          <w:szCs w:val="20"/>
        </w:rPr>
      </w:pP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 New Roman" w:hAnsi="Times New Roman" w:cs="Times New Roman"/>
          <w:sz w:val="20"/>
          <w:szCs w:val="20"/>
        </w:rPr>
      </w:pPr>
      <w:r>
        <w:rPr>
          <w:rFonts w:ascii="Times New Roman" w:hAnsi="Times New Roman" w:cs="Times New Roman"/>
          <w:b/>
          <w:sz w:val="20"/>
          <w:szCs w:val="20"/>
        </w:rPr>
        <w:lastRenderedPageBreak/>
        <w:t>Europäische Kompetenzen (s. Europäisches Curriculum)</w:t>
      </w:r>
      <w:r>
        <w:rPr>
          <w:rFonts w:ascii="Times New Roman" w:hAnsi="Times New Roman" w:cs="Times New Roman"/>
          <w:b/>
          <w:sz w:val="20"/>
          <w:szCs w:val="20"/>
        </w:rPr>
        <w:br/>
        <w:t xml:space="preserve">Fachlich-methodische Kompetenz: </w:t>
      </w:r>
      <w:r>
        <w:rPr>
          <w:rFonts w:ascii="Times New Roman" w:hAnsi="Times New Roman" w:cs="Times New Roman"/>
          <w:sz w:val="20"/>
          <w:szCs w:val="20"/>
        </w:rPr>
        <w:t xml:space="preserve">Schülerinnen und Schüler können die Welt wahrnehmen: sich informieren, verständigen und verstehen: Zusammenhänge in den Bereichen Arbeit, Arbeitsstätten und Produktion erkennen. (Internationale Betriebspraktika); Schülerinnen und Schüler gestalten ihre Welt: Medien herstellen, gestalten und damit informieren (Erstellung von Bewerbungsunterlagen auch in einer Fremdsprache) </w:t>
      </w: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 New Roman" w:hAnsi="Times New Roman" w:cs="Times New Roman"/>
          <w:sz w:val="20"/>
          <w:szCs w:val="20"/>
        </w:rPr>
      </w:pP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 New Roman" w:hAnsi="Times New Roman" w:cs="Times New Roman"/>
          <w:sz w:val="20"/>
          <w:szCs w:val="20"/>
        </w:rPr>
      </w:pP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 New Roman" w:hAnsi="Times New Roman" w:cs="Times New Roman"/>
          <w:sz w:val="20"/>
          <w:szCs w:val="20"/>
        </w:rPr>
      </w:pP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 New Roman" w:hAnsi="Times New Roman" w:cs="Times New Roman"/>
          <w:sz w:val="20"/>
          <w:szCs w:val="20"/>
        </w:rPr>
      </w:pPr>
    </w:p>
    <w:p w:rsidR="009746F2" w:rsidRDefault="009746F2">
      <w:pPr>
        <w:pBdr>
          <w:top w:val="single" w:sz="4" w:space="1" w:color="000000"/>
          <w:left w:val="single" w:sz="4" w:space="4" w:color="000000"/>
          <w:bottom w:val="single" w:sz="4" w:space="1" w:color="000000"/>
          <w:right w:val="single" w:sz="4" w:space="4" w:color="000000"/>
        </w:pBdr>
        <w:spacing w:after="0" w:line="100" w:lineRule="atLeast"/>
        <w:rPr>
          <w:rFonts w:ascii="Times New Roman" w:hAnsi="Times New Roman" w:cs="Times New Roman"/>
          <w:sz w:val="20"/>
          <w:szCs w:val="20"/>
        </w:rPr>
      </w:pPr>
    </w:p>
    <w:p w:rsidR="009746F2" w:rsidRDefault="009746F2">
      <w:pPr>
        <w:spacing w:after="0" w:line="100" w:lineRule="atLeast"/>
        <w:rPr>
          <w:rFonts w:ascii="Times New Roman" w:hAnsi="Times New Roman" w:cs="Times New Roman"/>
          <w:sz w:val="20"/>
          <w:szCs w:val="20"/>
        </w:rPr>
      </w:pPr>
    </w:p>
    <w:p w:rsidR="009746F2" w:rsidRDefault="009746F2">
      <w:pPr>
        <w:numPr>
          <w:ilvl w:val="0"/>
          <w:numId w:val="1"/>
        </w:numPr>
        <w:pBdr>
          <w:top w:val="single" w:sz="4" w:space="1" w:color="000000"/>
          <w:left w:val="single" w:sz="4" w:space="23" w:color="000000"/>
          <w:bottom w:val="single" w:sz="4" w:space="1" w:color="000000"/>
          <w:right w:val="single" w:sz="4" w:space="4" w:color="000000"/>
        </w:pBdr>
        <w:spacing w:after="0" w:line="100" w:lineRule="atLeast"/>
        <w:rPr>
          <w:rFonts w:ascii="Times New Roman" w:hAnsi="Times New Roman" w:cs="Times New Roman"/>
          <w:sz w:val="20"/>
          <w:szCs w:val="20"/>
        </w:rPr>
      </w:pPr>
      <w:r>
        <w:rPr>
          <w:rFonts w:ascii="Times New Roman" w:hAnsi="Times New Roman" w:cs="Times New Roman"/>
          <w:b/>
          <w:sz w:val="20"/>
          <w:szCs w:val="20"/>
        </w:rPr>
        <w:t>Anregungen für den Unterricht (Materialien, Methoden, Medien)</w:t>
      </w:r>
      <w:r>
        <w:rPr>
          <w:rFonts w:ascii="Times New Roman" w:hAnsi="Times New Roman" w:cs="Times New Roman"/>
          <w:b/>
          <w:sz w:val="20"/>
          <w:szCs w:val="20"/>
        </w:rPr>
        <w:br/>
      </w:r>
      <w:r>
        <w:rPr>
          <w:rFonts w:ascii="Times New Roman" w:hAnsi="Times New Roman" w:cs="Times New Roman"/>
          <w:sz w:val="20"/>
          <w:szCs w:val="20"/>
        </w:rPr>
        <w:t xml:space="preserve">Besuch von Berufsinformationsmessen mit Vor- und Nachbereitung </w:t>
      </w:r>
    </w:p>
    <w:p w:rsidR="009746F2" w:rsidRDefault="009746F2">
      <w:pPr>
        <w:pBdr>
          <w:top w:val="single" w:sz="4" w:space="1" w:color="000000"/>
          <w:left w:val="single" w:sz="4" w:space="23" w:color="000000"/>
          <w:bottom w:val="single" w:sz="4" w:space="1" w:color="000000"/>
          <w:right w:val="single" w:sz="4" w:space="4" w:color="000000"/>
        </w:pBdr>
        <w:spacing w:after="0" w:line="100" w:lineRule="atLeast"/>
        <w:ind w:left="360"/>
        <w:rPr>
          <w:rFonts w:ascii="Times New Roman" w:hAnsi="Times New Roman" w:cs="Times New Roman"/>
          <w:sz w:val="20"/>
          <w:szCs w:val="20"/>
        </w:rPr>
      </w:pPr>
    </w:p>
    <w:p w:rsidR="009746F2" w:rsidRDefault="009746F2">
      <w:pPr>
        <w:numPr>
          <w:ilvl w:val="0"/>
          <w:numId w:val="1"/>
        </w:numPr>
        <w:pBdr>
          <w:top w:val="single" w:sz="4" w:space="1" w:color="000000"/>
          <w:left w:val="single" w:sz="4" w:space="23" w:color="000000"/>
          <w:bottom w:val="single" w:sz="4" w:space="1" w:color="000000"/>
          <w:right w:val="single" w:sz="4" w:space="4" w:color="000000"/>
        </w:pBdr>
        <w:spacing w:after="0" w:line="100" w:lineRule="atLeast"/>
        <w:rPr>
          <w:rFonts w:ascii="Times New Roman" w:hAnsi="Times New Roman" w:cs="Times New Roman"/>
          <w:sz w:val="20"/>
          <w:szCs w:val="20"/>
        </w:rPr>
      </w:pPr>
      <w:r>
        <w:rPr>
          <w:rFonts w:ascii="Times New Roman" w:hAnsi="Times New Roman" w:cs="Times New Roman"/>
          <w:b/>
          <w:sz w:val="20"/>
          <w:szCs w:val="20"/>
        </w:rPr>
        <w:t>Fächerverbindende / fächerübergreifende Aspekte</w:t>
      </w:r>
      <w:r>
        <w:rPr>
          <w:rFonts w:ascii="Times New Roman" w:hAnsi="Times New Roman" w:cs="Times New Roman"/>
          <w:b/>
          <w:sz w:val="20"/>
          <w:szCs w:val="20"/>
        </w:rPr>
        <w:br/>
      </w:r>
      <w:r>
        <w:rPr>
          <w:rFonts w:ascii="Times New Roman" w:hAnsi="Times New Roman" w:cs="Times New Roman"/>
          <w:sz w:val="20"/>
          <w:szCs w:val="20"/>
        </w:rPr>
        <w:t xml:space="preserve">Kooperation mit dem Fach BWU (Berufsvorbereitung), Klassenfahrt in der Jahrgangsstufe 8 nach Korbach zur Kreishandwerkskammer, </w:t>
      </w:r>
    </w:p>
    <w:p w:rsidR="009746F2" w:rsidRDefault="009746F2">
      <w:pPr>
        <w:pBdr>
          <w:top w:val="single" w:sz="4" w:space="1" w:color="000000"/>
          <w:left w:val="single" w:sz="4" w:space="23" w:color="000000"/>
          <w:bottom w:val="single" w:sz="4" w:space="1" w:color="000000"/>
          <w:right w:val="single" w:sz="4" w:space="4" w:color="000000"/>
        </w:pBdr>
        <w:spacing w:after="0" w:line="100" w:lineRule="atLeast"/>
        <w:ind w:left="360"/>
        <w:rPr>
          <w:rFonts w:ascii="Times New Roman" w:hAnsi="Times New Roman" w:cs="Times New Roman"/>
          <w:sz w:val="20"/>
          <w:szCs w:val="20"/>
        </w:rPr>
      </w:pPr>
    </w:p>
    <w:p w:rsidR="009746F2" w:rsidRDefault="009746F2">
      <w:pPr>
        <w:numPr>
          <w:ilvl w:val="0"/>
          <w:numId w:val="1"/>
        </w:numPr>
        <w:pBdr>
          <w:top w:val="single" w:sz="4" w:space="1" w:color="000000"/>
          <w:left w:val="single" w:sz="4" w:space="23" w:color="000000"/>
          <w:bottom w:val="single" w:sz="4" w:space="1" w:color="000000"/>
          <w:right w:val="single" w:sz="4" w:space="4" w:color="000000"/>
        </w:pBdr>
        <w:spacing w:after="0" w:line="100" w:lineRule="atLeast"/>
        <w:rPr>
          <w:rFonts w:ascii="Times New Roman" w:hAnsi="Times New Roman" w:cs="Times New Roman"/>
          <w:b/>
          <w:sz w:val="20"/>
          <w:szCs w:val="20"/>
        </w:rPr>
      </w:pPr>
      <w:r>
        <w:rPr>
          <w:rFonts w:ascii="Times New Roman" w:hAnsi="Times New Roman" w:cs="Times New Roman"/>
          <w:b/>
          <w:sz w:val="20"/>
          <w:szCs w:val="20"/>
        </w:rPr>
        <w:t>Lernergebnisse vergleichen und dokumentieren</w:t>
      </w:r>
      <w:r>
        <w:rPr>
          <w:rFonts w:ascii="Times New Roman" w:hAnsi="Times New Roman" w:cs="Times New Roman"/>
          <w:b/>
          <w:sz w:val="20"/>
          <w:szCs w:val="20"/>
        </w:rPr>
        <w:br/>
      </w:r>
      <w:r>
        <w:rPr>
          <w:rFonts w:ascii="Times New Roman" w:hAnsi="Times New Roman" w:cs="Times New Roman"/>
          <w:sz w:val="20"/>
          <w:szCs w:val="20"/>
        </w:rPr>
        <w:t xml:space="preserve">Erstellen von Bewerbungsmappen, Praktikumsbericht, Präsentationen und Wandzeitungen zu verschiedenen Berufen </w:t>
      </w:r>
    </w:p>
    <w:p w:rsidR="009746F2" w:rsidRDefault="009746F2">
      <w:pPr>
        <w:pBdr>
          <w:top w:val="single" w:sz="4" w:space="1" w:color="000000"/>
          <w:left w:val="single" w:sz="4" w:space="23" w:color="000000"/>
          <w:bottom w:val="single" w:sz="4" w:space="1" w:color="000000"/>
          <w:right w:val="single" w:sz="4" w:space="4" w:color="000000"/>
        </w:pBdr>
        <w:spacing w:after="0" w:line="100" w:lineRule="atLeast"/>
        <w:ind w:left="360"/>
        <w:rPr>
          <w:rFonts w:ascii="Times New Roman" w:hAnsi="Times New Roman" w:cs="Times New Roman"/>
          <w:b/>
          <w:sz w:val="20"/>
          <w:szCs w:val="20"/>
        </w:rPr>
      </w:pPr>
    </w:p>
    <w:p w:rsidR="009746F2" w:rsidRDefault="009746F2">
      <w:pPr>
        <w:pBdr>
          <w:top w:val="single" w:sz="4" w:space="1" w:color="000000"/>
          <w:left w:val="single" w:sz="4" w:space="23" w:color="000000"/>
          <w:bottom w:val="single" w:sz="4" w:space="1" w:color="000000"/>
          <w:right w:val="single" w:sz="4" w:space="4" w:color="000000"/>
        </w:pBdr>
        <w:spacing w:after="0" w:line="100" w:lineRule="atLeast"/>
        <w:ind w:left="360"/>
        <w:rPr>
          <w:rFonts w:ascii="Times New Roman" w:hAnsi="Times New Roman" w:cs="Times New Roman"/>
          <w:b/>
          <w:sz w:val="20"/>
          <w:szCs w:val="20"/>
        </w:rPr>
      </w:pPr>
    </w:p>
    <w:p w:rsidR="009746F2" w:rsidRDefault="009746F2">
      <w:pPr>
        <w:pBdr>
          <w:top w:val="single" w:sz="4" w:space="1" w:color="000000"/>
          <w:left w:val="single" w:sz="4" w:space="23" w:color="000000"/>
          <w:bottom w:val="single" w:sz="4" w:space="1" w:color="000000"/>
          <w:right w:val="single" w:sz="4" w:space="4" w:color="000000"/>
        </w:pBdr>
        <w:spacing w:after="0" w:line="100" w:lineRule="atLeast"/>
        <w:ind w:left="360"/>
        <w:rPr>
          <w:rFonts w:ascii="Times New Roman" w:hAnsi="Times New Roman" w:cs="Times New Roman"/>
          <w:b/>
          <w:sz w:val="20"/>
          <w:szCs w:val="20"/>
        </w:rPr>
      </w:pPr>
    </w:p>
    <w:p w:rsidR="009746F2" w:rsidRDefault="009746F2">
      <w:pPr>
        <w:pBdr>
          <w:top w:val="single" w:sz="4" w:space="1" w:color="000000"/>
          <w:left w:val="single" w:sz="4" w:space="23" w:color="000000"/>
          <w:bottom w:val="single" w:sz="4" w:space="1" w:color="000000"/>
          <w:right w:val="single" w:sz="4" w:space="4" w:color="000000"/>
        </w:pBdr>
        <w:spacing w:after="0" w:line="100" w:lineRule="atLeast"/>
        <w:ind w:left="360"/>
        <w:rPr>
          <w:rFonts w:ascii="Times New Roman" w:hAnsi="Times New Roman" w:cs="Times New Roman"/>
          <w:b/>
          <w:sz w:val="20"/>
          <w:szCs w:val="20"/>
        </w:rPr>
      </w:pPr>
    </w:p>
    <w:p w:rsidR="009746F2" w:rsidRDefault="009746F2">
      <w:pPr>
        <w:pBdr>
          <w:top w:val="single" w:sz="4" w:space="1" w:color="000000"/>
          <w:left w:val="single" w:sz="4" w:space="23" w:color="000000"/>
          <w:bottom w:val="single" w:sz="4" w:space="1" w:color="000000"/>
          <w:right w:val="single" w:sz="4" w:space="4" w:color="000000"/>
        </w:pBdr>
        <w:spacing w:after="0" w:line="100" w:lineRule="atLeast"/>
        <w:ind w:left="360"/>
        <w:rPr>
          <w:rFonts w:ascii="Times New Roman" w:hAnsi="Times New Roman" w:cs="Times New Roman"/>
          <w:b/>
          <w:sz w:val="20"/>
          <w:szCs w:val="20"/>
        </w:rPr>
      </w:pPr>
    </w:p>
    <w:p w:rsidR="009746F2" w:rsidRDefault="009746F2">
      <w:pPr>
        <w:spacing w:after="0" w:line="100" w:lineRule="atLeast"/>
        <w:rPr>
          <w:rFonts w:ascii="Times New Roman" w:hAnsi="Times New Roman" w:cs="Times New Roman"/>
          <w:sz w:val="20"/>
          <w:szCs w:val="20"/>
        </w:rPr>
      </w:pPr>
    </w:p>
    <w:p w:rsidR="009746F2" w:rsidRDefault="009746F2">
      <w:pPr>
        <w:spacing w:after="0" w:line="100" w:lineRule="atLeast"/>
      </w:pPr>
    </w:p>
    <w:sectPr w:rsidR="009746F2">
      <w:pgSz w:w="16838" w:h="11906" w:orient="landscape"/>
      <w:pgMar w:top="1417" w:right="1417" w:bottom="1417" w:left="1134"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Times New Roman"/>
    <w:charset w:val="00"/>
    <w:family w:val="roman"/>
    <w:pitch w:val="default"/>
  </w:font>
  <w:font w:name="Times-Bold">
    <w:altName w:val="Times New Roman"/>
    <w:charset w:val="00"/>
    <w:family w:val="auto"/>
    <w:pitch w:val="default"/>
  </w:font>
  <w:font w:name="Times-Italic">
    <w:altName w:val="Bradley Hand ITC"/>
    <w:charset w:val="00"/>
    <w:family w:val="script"/>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AE6"/>
    <w:rsid w:val="00606AE6"/>
    <w:rsid w:val="009746F2"/>
    <w:rsid w:val="00C219E3"/>
    <w:rsid w:val="00F16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alloonText">
    <w:name w:val="Balloon Text"/>
    <w:basedOn w:val="Standard"/>
    <w:pPr>
      <w:spacing w:after="0" w:line="100" w:lineRule="atLeast"/>
    </w:pPr>
    <w:rPr>
      <w:rFonts w:ascii="Tahoma" w:hAnsi="Tahoma" w:cs="Tahoma"/>
      <w:sz w:val="16"/>
      <w:szCs w:val="16"/>
    </w:rPr>
  </w:style>
  <w:style w:type="paragraph" w:customStyle="1" w:styleId="TabellenInhalt">
    <w:name w:val="Tabellen Inhalt"/>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4082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cp:lastModifiedBy>stefandueppers</cp:lastModifiedBy>
  <cp:revision>2</cp:revision>
  <cp:lastPrinted>2014-03-02T21:56:00Z</cp:lastPrinted>
  <dcterms:created xsi:type="dcterms:W3CDTF">2015-09-08T07:42:00Z</dcterms:created>
  <dcterms:modified xsi:type="dcterms:W3CDTF">2015-09-08T07:42:00Z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