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825B9" w:rsidTr="001C0752">
        <w:trPr>
          <w:trHeight w:val="276"/>
        </w:trPr>
        <w:tc>
          <w:tcPr>
            <w:tcW w:w="3020" w:type="dxa"/>
          </w:tcPr>
          <w:p w:rsidR="000825B9" w:rsidRDefault="001C0752">
            <w:bookmarkStart w:id="0" w:name="_GoBack"/>
            <w:bookmarkEnd w:id="0"/>
            <w:r>
              <w:t>Überfachliche Kompetenzen</w:t>
            </w:r>
          </w:p>
        </w:tc>
        <w:tc>
          <w:tcPr>
            <w:tcW w:w="3021" w:type="dxa"/>
          </w:tcPr>
          <w:p w:rsidR="000825B9" w:rsidRDefault="001C0752">
            <w:r>
              <w:t>Bildungsstandards</w:t>
            </w:r>
          </w:p>
        </w:tc>
        <w:tc>
          <w:tcPr>
            <w:tcW w:w="3021" w:type="dxa"/>
          </w:tcPr>
          <w:p w:rsidR="000825B9" w:rsidRDefault="002514F4">
            <w:r>
              <w:t>Fachinhalte/</w:t>
            </w:r>
            <w:r w:rsidR="001C0752">
              <w:t>Themenfelder</w:t>
            </w:r>
          </w:p>
        </w:tc>
      </w:tr>
      <w:tr w:rsidR="000825B9" w:rsidTr="001C0752">
        <w:trPr>
          <w:trHeight w:val="276"/>
        </w:trPr>
        <w:tc>
          <w:tcPr>
            <w:tcW w:w="3020" w:type="dxa"/>
          </w:tcPr>
          <w:p w:rsidR="000825B9" w:rsidRDefault="001C0752" w:rsidP="001C0752">
            <w:pPr>
              <w:spacing w:before="100" w:after="100"/>
              <w:contextualSpacing/>
            </w:pPr>
            <w:r>
              <w:t>a. Fähigkeiten und Fertigkeiten:</w:t>
            </w:r>
            <w:r>
              <w:br/>
              <w:t>-Sozialen Kompetenz</w:t>
            </w:r>
          </w:p>
          <w:p w:rsidR="001C0752" w:rsidRDefault="001C0752" w:rsidP="001C0752">
            <w:pPr>
              <w:spacing w:before="100" w:after="100"/>
              <w:contextualSpacing/>
            </w:pPr>
            <w:r>
              <w:t>-Personale Kompetenz</w:t>
            </w:r>
          </w:p>
          <w:p w:rsidR="001C0752" w:rsidRDefault="001C0752" w:rsidP="001C0752">
            <w:pPr>
              <w:spacing w:before="100" w:after="100"/>
              <w:contextualSpacing/>
            </w:pPr>
            <w:r>
              <w:t>-Sprachliche Kompetenz</w:t>
            </w:r>
          </w:p>
          <w:p w:rsidR="001C0752" w:rsidRDefault="001C0752" w:rsidP="001C0752">
            <w:pPr>
              <w:spacing w:before="100" w:after="100"/>
              <w:contextualSpacing/>
            </w:pPr>
            <w:r>
              <w:t>-Wissenschafts-propädeutische Kompetenz</w:t>
            </w:r>
          </w:p>
          <w:p w:rsidR="001C0752" w:rsidRDefault="001C0752" w:rsidP="001C0752">
            <w:pPr>
              <w:spacing w:before="100" w:after="100"/>
              <w:contextualSpacing/>
            </w:pPr>
          </w:p>
        </w:tc>
        <w:tc>
          <w:tcPr>
            <w:tcW w:w="3021" w:type="dxa"/>
          </w:tcPr>
          <w:p w:rsidR="000825B9" w:rsidRDefault="006C2324">
            <w:r>
              <w:t xml:space="preserve">Kern der Leistungserwartungen bezogen auf allgemeine </w:t>
            </w:r>
            <w:r w:rsidRPr="00D91553">
              <w:rPr>
                <w:u w:val="single"/>
              </w:rPr>
              <w:t>fachliche Kompetenzen</w:t>
            </w:r>
            <w:r w:rsidR="001B0E62">
              <w:rPr>
                <w:u w:val="single"/>
              </w:rPr>
              <w:t xml:space="preserve">, </w:t>
            </w:r>
            <w:r w:rsidR="001B0E62">
              <w:t>Gegenstand von Abschlussprüfungen im Zusammenhang mit den Fachinhalten</w:t>
            </w:r>
            <w:r w:rsidR="001B0E62">
              <w:rPr>
                <w:u w:val="single"/>
              </w:rPr>
              <w:t xml:space="preserve"> </w:t>
            </w:r>
          </w:p>
        </w:tc>
        <w:tc>
          <w:tcPr>
            <w:tcW w:w="3021" w:type="dxa"/>
          </w:tcPr>
          <w:p w:rsidR="00A0617E" w:rsidRDefault="006201B9" w:rsidP="00A0617E">
            <w:pPr>
              <w:spacing w:before="100" w:after="100"/>
              <w:contextualSpacing/>
            </w:pPr>
            <w:r>
              <w:t>Kern der Leistungserwartungen bezogen auf Wissensinhalte, Gegenstand von Abschlussprüfungen.</w:t>
            </w:r>
          </w:p>
        </w:tc>
      </w:tr>
      <w:tr w:rsidR="000825B9" w:rsidTr="001C0752">
        <w:trPr>
          <w:trHeight w:val="276"/>
        </w:trPr>
        <w:tc>
          <w:tcPr>
            <w:tcW w:w="3020" w:type="dxa"/>
          </w:tcPr>
          <w:p w:rsidR="000825B9" w:rsidRDefault="001C0752" w:rsidP="001C0752">
            <w:pPr>
              <w:spacing w:before="100" w:after="100"/>
              <w:contextualSpacing/>
            </w:pPr>
            <w:r>
              <w:t>b. Haltungen und Einstellungen:</w:t>
            </w:r>
          </w:p>
          <w:p w:rsidR="001C0752" w:rsidRDefault="001C0752" w:rsidP="001C0752">
            <w:pPr>
              <w:spacing w:before="100" w:after="100"/>
              <w:contextualSpacing/>
            </w:pPr>
            <w:r>
              <w:t>-Interkulturelle Kompetenz</w:t>
            </w:r>
          </w:p>
          <w:p w:rsidR="001C0752" w:rsidRDefault="001C0752" w:rsidP="001C0752">
            <w:pPr>
              <w:spacing w:before="100" w:after="100"/>
              <w:contextualSpacing/>
            </w:pPr>
            <w:r>
              <w:t>-Demokratie und Teilhabe</w:t>
            </w:r>
          </w:p>
          <w:p w:rsidR="001C0752" w:rsidRDefault="001C0752" w:rsidP="001C0752">
            <w:pPr>
              <w:spacing w:before="100" w:after="100"/>
              <w:contextualSpacing/>
            </w:pPr>
            <w:r>
              <w:t xml:space="preserve">-Nachhaltigkeit/Lernen in globalen Zusammenhängen </w:t>
            </w:r>
          </w:p>
          <w:p w:rsidR="001C0752" w:rsidRDefault="001C0752">
            <w:r>
              <w:t>-selbstbestimmtes Lernen in der mediatisierten Welt</w:t>
            </w:r>
          </w:p>
        </w:tc>
        <w:tc>
          <w:tcPr>
            <w:tcW w:w="3021" w:type="dxa"/>
          </w:tcPr>
          <w:p w:rsidR="000825B9" w:rsidRDefault="00D51C8C" w:rsidP="00D51C8C">
            <w:pPr>
              <w:spacing w:before="100" w:after="100"/>
              <w:contextualSpacing/>
            </w:pPr>
            <w:r>
              <w:t xml:space="preserve">Fünf fachliche </w:t>
            </w:r>
            <w:r w:rsidRPr="00D51C8C">
              <w:rPr>
                <w:u w:val="single"/>
              </w:rPr>
              <w:t>Kompetenzbereiche</w:t>
            </w:r>
            <w:r>
              <w:t>, die in mehrere Kompetenzen untergliedert werden.</w:t>
            </w:r>
          </w:p>
          <w:p w:rsidR="00D51C8C" w:rsidRDefault="00D51C8C" w:rsidP="00D51C8C">
            <w:pPr>
              <w:spacing w:before="100" w:after="100"/>
              <w:contextualSpacing/>
            </w:pPr>
            <w:r>
              <w:t>1.Sich mit Texten u. Medien auseinandersetzten (TM)</w:t>
            </w:r>
          </w:p>
          <w:p w:rsidR="00D51C8C" w:rsidRDefault="00D51C8C" w:rsidP="00D51C8C">
            <w:pPr>
              <w:spacing w:before="100" w:after="100"/>
              <w:contextualSpacing/>
            </w:pPr>
            <w:r>
              <w:t>2.</w:t>
            </w:r>
            <w:r w:rsidR="00713CF7">
              <w:t>Srache u. Sprachgebrauch reflektieren (</w:t>
            </w:r>
            <w:proofErr w:type="spellStart"/>
            <w:r w:rsidR="00713CF7">
              <w:t>Sr</w:t>
            </w:r>
            <w:proofErr w:type="spellEnd"/>
            <w:r w:rsidR="00713CF7">
              <w:t>)</w:t>
            </w:r>
          </w:p>
          <w:p w:rsidR="00713CF7" w:rsidRDefault="00713CF7" w:rsidP="00D51C8C">
            <w:pPr>
              <w:spacing w:before="100" w:after="100"/>
              <w:contextualSpacing/>
            </w:pPr>
            <w:r>
              <w:t>3. Sprechen u. Zuhören (SZ)</w:t>
            </w:r>
          </w:p>
          <w:p w:rsidR="00713CF7" w:rsidRDefault="00713CF7" w:rsidP="00D51C8C">
            <w:pPr>
              <w:spacing w:before="100" w:after="100"/>
              <w:contextualSpacing/>
            </w:pPr>
            <w:r>
              <w:t>4. Schreiben (</w:t>
            </w:r>
            <w:proofErr w:type="spellStart"/>
            <w:r>
              <w:t>Sch</w:t>
            </w:r>
            <w:proofErr w:type="spellEnd"/>
            <w:r>
              <w:t>)</w:t>
            </w:r>
          </w:p>
          <w:p w:rsidR="00713CF7" w:rsidRDefault="00713CF7" w:rsidP="00D51C8C">
            <w:pPr>
              <w:spacing w:before="100" w:after="100"/>
              <w:contextualSpacing/>
            </w:pPr>
            <w:r>
              <w:t>5. Lesen (L)</w:t>
            </w:r>
          </w:p>
          <w:p w:rsidR="00713CF7" w:rsidRDefault="00713CF7" w:rsidP="00D51C8C">
            <w:pPr>
              <w:spacing w:before="100" w:after="100"/>
              <w:contextualSpacing/>
            </w:pPr>
          </w:p>
          <w:p w:rsidR="00713CF7" w:rsidRDefault="00713CF7" w:rsidP="00D51C8C">
            <w:pPr>
              <w:spacing w:before="100" w:after="100"/>
              <w:contextualSpacing/>
            </w:pPr>
            <w:r>
              <w:t xml:space="preserve">Differenzierung in unterschiedliche Leistungsniveaus innerhalb von Kompetenzbereich </w:t>
            </w:r>
          </w:p>
          <w:p w:rsidR="00713CF7" w:rsidRDefault="00713CF7" w:rsidP="00D51C8C">
            <w:pPr>
              <w:spacing w:before="100" w:after="100"/>
              <w:contextualSpacing/>
            </w:pPr>
            <w:r>
              <w:t xml:space="preserve">1 und 2 </w:t>
            </w:r>
          </w:p>
          <w:p w:rsidR="00D51C8C" w:rsidRDefault="00D51C8C" w:rsidP="00D51C8C"/>
        </w:tc>
        <w:tc>
          <w:tcPr>
            <w:tcW w:w="3021" w:type="dxa"/>
          </w:tcPr>
          <w:p w:rsidR="00934C3B" w:rsidRDefault="00D1423A" w:rsidP="00934C3B">
            <w:pPr>
              <w:spacing w:before="100" w:after="100"/>
              <w:contextualSpacing/>
            </w:pPr>
            <w:r>
              <w:t xml:space="preserve"> </w:t>
            </w:r>
            <w:r w:rsidR="00934C3B">
              <w:t>Leitperspektiven als überfachlicher Zusammenhalt aller Halb-jahre</w:t>
            </w:r>
          </w:p>
          <w:p w:rsidR="00934C3B" w:rsidRDefault="00934C3B" w:rsidP="00934C3B">
            <w:pPr>
              <w:spacing w:before="100" w:after="100"/>
              <w:contextualSpacing/>
            </w:pPr>
            <w:r>
              <w:t>-Form und Gestaltung</w:t>
            </w:r>
          </w:p>
          <w:p w:rsidR="00934C3B" w:rsidRDefault="00934C3B" w:rsidP="00934C3B">
            <w:pPr>
              <w:spacing w:before="100" w:after="100"/>
              <w:contextualSpacing/>
            </w:pPr>
            <w:r>
              <w:t xml:space="preserve">-Verständigung und Auseinandersetzung </w:t>
            </w:r>
          </w:p>
          <w:p w:rsidR="00934C3B" w:rsidRDefault="00934C3B" w:rsidP="00934C3B">
            <w:pPr>
              <w:spacing w:before="100" w:after="100"/>
              <w:contextualSpacing/>
            </w:pPr>
            <w:r>
              <w:t>-Norm und Wandel</w:t>
            </w:r>
          </w:p>
          <w:p w:rsidR="00D1423A" w:rsidRDefault="00934C3B" w:rsidP="00934C3B">
            <w:r>
              <w:t>-Funktion und Wirkung</w:t>
            </w:r>
          </w:p>
          <w:p w:rsidR="002E625E" w:rsidRDefault="002E625E"/>
        </w:tc>
      </w:tr>
      <w:tr w:rsidR="000825B9" w:rsidTr="001C0752">
        <w:trPr>
          <w:trHeight w:val="276"/>
        </w:trPr>
        <w:tc>
          <w:tcPr>
            <w:tcW w:w="3020" w:type="dxa"/>
          </w:tcPr>
          <w:p w:rsidR="000825B9" w:rsidRDefault="00A11800">
            <w:r>
              <w:t>Sind nicht Gegenstand von Abschlussprüfungen</w:t>
            </w:r>
          </w:p>
        </w:tc>
        <w:tc>
          <w:tcPr>
            <w:tcW w:w="3021" w:type="dxa"/>
          </w:tcPr>
          <w:p w:rsidR="000825B9" w:rsidRDefault="006C0937">
            <w:r>
              <w:t>Vergleichbar mit den Operatoren</w:t>
            </w:r>
          </w:p>
        </w:tc>
        <w:tc>
          <w:tcPr>
            <w:tcW w:w="3021" w:type="dxa"/>
          </w:tcPr>
          <w:p w:rsidR="00D1423A" w:rsidRDefault="00D1423A" w:rsidP="00D1423A">
            <w:r>
              <w:t>Strukturierung in Kurshalbjahre: Themen, die in verschiedene Themenfelder gegliedert sind.</w:t>
            </w:r>
          </w:p>
          <w:p w:rsidR="00D1423A" w:rsidRDefault="00D1423A" w:rsidP="00D1423A">
            <w:pPr>
              <w:spacing w:before="100" w:after="100"/>
              <w:contextualSpacing/>
            </w:pPr>
            <w:r>
              <w:t>z.B. E1: Norm und Positionierung</w:t>
            </w:r>
          </w:p>
          <w:p w:rsidR="00D1423A" w:rsidRDefault="00D1423A" w:rsidP="00D1423A">
            <w:pPr>
              <w:spacing w:before="100" w:after="100"/>
              <w:contextualSpacing/>
            </w:pPr>
            <w:r>
              <w:t>-Sprache als Medium</w:t>
            </w:r>
          </w:p>
          <w:p w:rsidR="00D1423A" w:rsidRDefault="00D1423A" w:rsidP="00D1423A">
            <w:pPr>
              <w:spacing w:before="100" w:after="100"/>
              <w:contextualSpacing/>
            </w:pPr>
            <w:r>
              <w:t>-Moderne Epik</w:t>
            </w:r>
          </w:p>
          <w:p w:rsidR="00D1423A" w:rsidRDefault="00D1423A" w:rsidP="00D1423A">
            <w:pPr>
              <w:spacing w:before="100" w:after="100"/>
              <w:contextualSpacing/>
            </w:pPr>
            <w:r>
              <w:t>-Positionen und Argumente</w:t>
            </w:r>
          </w:p>
          <w:p w:rsidR="00D1423A" w:rsidRDefault="00D1423A" w:rsidP="00D1423A">
            <w:pPr>
              <w:spacing w:before="100" w:after="100"/>
              <w:contextualSpacing/>
            </w:pPr>
            <w:r>
              <w:t>-Schreiben u. Schreibstrategien</w:t>
            </w:r>
          </w:p>
          <w:p w:rsidR="00D1423A" w:rsidRDefault="00D1423A" w:rsidP="00D1423A">
            <w:pPr>
              <w:spacing w:before="100" w:after="100"/>
              <w:contextualSpacing/>
            </w:pPr>
            <w:r>
              <w:t>-Grammatik verstehen und anwenden.</w:t>
            </w:r>
          </w:p>
          <w:p w:rsidR="00D1423A" w:rsidRDefault="00D1423A" w:rsidP="00D1423A">
            <w:pPr>
              <w:spacing w:before="100" w:after="100"/>
              <w:contextualSpacing/>
            </w:pPr>
          </w:p>
          <w:p w:rsidR="00D1423A" w:rsidRDefault="00D1423A" w:rsidP="00D1423A">
            <w:pPr>
              <w:spacing w:before="100" w:after="100"/>
              <w:contextualSpacing/>
            </w:pPr>
            <w:r>
              <w:t xml:space="preserve">Festlegung verbindlicher Themenfelder für jedes Halbjahr. </w:t>
            </w:r>
          </w:p>
          <w:p w:rsidR="000825B9" w:rsidRDefault="000825B9"/>
        </w:tc>
      </w:tr>
    </w:tbl>
    <w:p w:rsidR="009052C2" w:rsidRDefault="009052C2"/>
    <w:sectPr w:rsidR="009052C2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EFC" w:rsidRDefault="00E96EFC" w:rsidP="00146D89">
      <w:pPr>
        <w:spacing w:before="0" w:after="0"/>
      </w:pPr>
      <w:r>
        <w:separator/>
      </w:r>
    </w:p>
  </w:endnote>
  <w:endnote w:type="continuationSeparator" w:id="0">
    <w:p w:rsidR="00E96EFC" w:rsidRDefault="00E96EFC" w:rsidP="00146D8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EFC" w:rsidRDefault="00E96EFC" w:rsidP="00146D89">
      <w:pPr>
        <w:spacing w:before="0" w:after="0"/>
      </w:pPr>
      <w:r>
        <w:separator/>
      </w:r>
    </w:p>
  </w:footnote>
  <w:footnote w:type="continuationSeparator" w:id="0">
    <w:p w:rsidR="00E96EFC" w:rsidRDefault="00E96EFC" w:rsidP="00146D8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D89" w:rsidRPr="00146D89" w:rsidRDefault="00777883" w:rsidP="00146D89">
    <w:pPr>
      <w:pStyle w:val="Kopfzeile"/>
      <w:spacing w:before="100" w:after="100"/>
      <w:contextualSpacing/>
      <w:rPr>
        <w:b/>
      </w:rPr>
    </w:pPr>
    <w:r>
      <w:rPr>
        <w:b/>
      </w:rPr>
      <w:t>Die „drei“ Säulen“ des</w:t>
    </w:r>
    <w:r w:rsidR="00146D89" w:rsidRPr="00146D89">
      <w:rPr>
        <w:b/>
      </w:rPr>
      <w:t xml:space="preserve"> Kerncurriculum</w:t>
    </w:r>
    <w:r>
      <w:rPr>
        <w:b/>
      </w:rPr>
      <w:t>s</w:t>
    </w:r>
    <w:r w:rsidR="00146D89" w:rsidRPr="00146D89">
      <w:rPr>
        <w:b/>
      </w:rPr>
      <w:t xml:space="preserve"> gymnasiale Oberstufe KCGO Deutsch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B00"/>
    <w:rsid w:val="000825B9"/>
    <w:rsid w:val="000F7AE0"/>
    <w:rsid w:val="00146D89"/>
    <w:rsid w:val="001B0E62"/>
    <w:rsid w:val="001C0752"/>
    <w:rsid w:val="002514F4"/>
    <w:rsid w:val="002E625E"/>
    <w:rsid w:val="005F01D4"/>
    <w:rsid w:val="006201B9"/>
    <w:rsid w:val="006C0937"/>
    <w:rsid w:val="006C2324"/>
    <w:rsid w:val="00713CF7"/>
    <w:rsid w:val="00777883"/>
    <w:rsid w:val="009052C2"/>
    <w:rsid w:val="00907537"/>
    <w:rsid w:val="00934C3B"/>
    <w:rsid w:val="00A0617E"/>
    <w:rsid w:val="00A11800"/>
    <w:rsid w:val="00C24B00"/>
    <w:rsid w:val="00D1423A"/>
    <w:rsid w:val="00D51C8C"/>
    <w:rsid w:val="00D57ACE"/>
    <w:rsid w:val="00D91553"/>
    <w:rsid w:val="00E8426F"/>
    <w:rsid w:val="00E9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de-D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46D8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146D89"/>
    <w:pPr>
      <w:tabs>
        <w:tab w:val="center" w:pos="4536"/>
        <w:tab w:val="right" w:pos="9072"/>
      </w:tabs>
      <w:spacing w:before="0" w:after="0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46D89"/>
  </w:style>
  <w:style w:type="paragraph" w:styleId="Fuzeile">
    <w:name w:val="footer"/>
    <w:basedOn w:val="Standard"/>
    <w:link w:val="FuzeileZeichen"/>
    <w:uiPriority w:val="99"/>
    <w:unhideWhenUsed/>
    <w:rsid w:val="00146D89"/>
    <w:pPr>
      <w:tabs>
        <w:tab w:val="center" w:pos="4536"/>
        <w:tab w:val="right" w:pos="9072"/>
      </w:tabs>
      <w:spacing w:before="0" w:after="0"/>
    </w:pPr>
  </w:style>
  <w:style w:type="character" w:customStyle="1" w:styleId="FuzeileZeichen">
    <w:name w:val="Fußzeile Zeichen"/>
    <w:basedOn w:val="Absatzstandardschriftart"/>
    <w:link w:val="Fuzeile"/>
    <w:uiPriority w:val="99"/>
    <w:rsid w:val="00146D8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de-D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46D8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146D89"/>
    <w:pPr>
      <w:tabs>
        <w:tab w:val="center" w:pos="4536"/>
        <w:tab w:val="right" w:pos="9072"/>
      </w:tabs>
      <w:spacing w:before="0" w:after="0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46D89"/>
  </w:style>
  <w:style w:type="paragraph" w:styleId="Fuzeile">
    <w:name w:val="footer"/>
    <w:basedOn w:val="Standard"/>
    <w:link w:val="FuzeileZeichen"/>
    <w:uiPriority w:val="99"/>
    <w:unhideWhenUsed/>
    <w:rsid w:val="00146D89"/>
    <w:pPr>
      <w:tabs>
        <w:tab w:val="center" w:pos="4536"/>
        <w:tab w:val="right" w:pos="9072"/>
      </w:tabs>
      <w:spacing w:before="0" w:after="0"/>
    </w:pPr>
  </w:style>
  <w:style w:type="character" w:customStyle="1" w:styleId="FuzeileZeichen">
    <w:name w:val="Fußzeile Zeichen"/>
    <w:basedOn w:val="Absatzstandardschriftart"/>
    <w:link w:val="Fuzeile"/>
    <w:uiPriority w:val="99"/>
    <w:rsid w:val="00146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1323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Beatrix</dc:creator>
  <cp:keywords/>
  <dc:description/>
  <cp:lastModifiedBy>ADRIANE ARNOLD</cp:lastModifiedBy>
  <cp:revision>2</cp:revision>
  <dcterms:created xsi:type="dcterms:W3CDTF">2017-02-13T08:16:00Z</dcterms:created>
  <dcterms:modified xsi:type="dcterms:W3CDTF">2017-02-13T08:16:00Z</dcterms:modified>
</cp:coreProperties>
</file>